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07" w:rsidRPr="00522F9C" w:rsidRDefault="00AD353A" w:rsidP="00943DB5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r w:rsidRPr="00522F9C">
        <w:rPr>
          <w:rFonts w:ascii="PT Astra Serif" w:hAnsi="PT Astra Serif" w:cs="Times New Roman"/>
          <w:sz w:val="28"/>
          <w:szCs w:val="28"/>
        </w:rPr>
        <w:t>Приложение к постановлению</w:t>
      </w:r>
    </w:p>
    <w:p w:rsidR="00135F07" w:rsidRPr="00522F9C" w:rsidRDefault="00AD353A" w:rsidP="00943DB5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r w:rsidRPr="00522F9C">
        <w:rPr>
          <w:rFonts w:ascii="PT Astra Serif" w:hAnsi="PT Astra Serif" w:cs="Times New Roman"/>
          <w:sz w:val="28"/>
          <w:szCs w:val="28"/>
        </w:rPr>
        <w:t>Правительства Саратовской области</w:t>
      </w:r>
    </w:p>
    <w:p w:rsidR="00135F07" w:rsidRPr="00522F9C" w:rsidRDefault="002E7F7F" w:rsidP="00943DB5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r w:rsidRPr="00522F9C">
        <w:rPr>
          <w:rFonts w:ascii="PT Astra Serif" w:hAnsi="PT Astra Serif" w:cs="Times New Roman"/>
          <w:sz w:val="28"/>
          <w:szCs w:val="28"/>
        </w:rPr>
        <w:t>от ___________</w:t>
      </w:r>
      <w:r w:rsidRPr="00522F9C">
        <w:rPr>
          <w:rFonts w:ascii="PT Astra Serif" w:hAnsi="PT Astra Serif" w:cs="Times New Roman"/>
          <w:sz w:val="28"/>
          <w:szCs w:val="28"/>
          <w:lang w:val="en-US"/>
        </w:rPr>
        <w:t>_____</w:t>
      </w:r>
      <w:r w:rsidR="00E253DB" w:rsidRPr="00522F9C">
        <w:rPr>
          <w:rFonts w:ascii="PT Astra Serif" w:hAnsi="PT Astra Serif" w:cs="Times New Roman"/>
          <w:sz w:val="28"/>
          <w:szCs w:val="28"/>
        </w:rPr>
        <w:t xml:space="preserve"> </w:t>
      </w:r>
      <w:r w:rsidR="00AD353A" w:rsidRPr="00522F9C">
        <w:rPr>
          <w:rFonts w:ascii="PT Astra Serif" w:hAnsi="PT Astra Serif" w:cs="Times New Roman"/>
          <w:sz w:val="28"/>
          <w:szCs w:val="28"/>
        </w:rPr>
        <w:t>года № ______</w:t>
      </w:r>
    </w:p>
    <w:p w:rsidR="00D31562" w:rsidRPr="00522F9C" w:rsidRDefault="00D31562" w:rsidP="0094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39"/>
      <w:bookmarkEnd w:id="0"/>
    </w:p>
    <w:p w:rsidR="00135F07" w:rsidRPr="001B3EE6" w:rsidRDefault="00AD353A" w:rsidP="0094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522F9C">
        <w:rPr>
          <w:rFonts w:ascii="PT Astra Serif" w:hAnsi="PT Astra Serif" w:cs="Times New Roman"/>
          <w:b/>
          <w:sz w:val="28"/>
          <w:szCs w:val="28"/>
        </w:rPr>
        <w:t xml:space="preserve">Обязательства поселения Саратовской области, получающего дотацию на выравнивание бюджетной обеспеченности поселений за счет субвенции </w:t>
      </w:r>
      <w:r w:rsidR="00133F8D" w:rsidRPr="00522F9C">
        <w:rPr>
          <w:rFonts w:ascii="PT Astra Serif" w:hAnsi="PT Astra Serif" w:cs="Times New Roman"/>
          <w:b/>
          <w:sz w:val="28"/>
          <w:szCs w:val="28"/>
        </w:rPr>
        <w:t xml:space="preserve">бюджетам муниципальных районов </w:t>
      </w:r>
      <w:r w:rsidRPr="00522F9C">
        <w:rPr>
          <w:rFonts w:ascii="PT Astra Serif" w:hAnsi="PT Astra Serif" w:cs="Times New Roman"/>
          <w:b/>
          <w:sz w:val="28"/>
          <w:szCs w:val="28"/>
        </w:rPr>
        <w:t>из областного бюджета на исполнение государственных полномочий по расчету и предоставлению дотаций бюджетам поселений, меры ответственности за их невыполнение и обязательства финансового органа муниципального района Саратовской области, подлежащие включению в соглашение, которым предусматриваются меры по социально-экономическому развитию и оздоровлению муниципальных финансов поселения Саратовской</w:t>
      </w:r>
      <w:proofErr w:type="gramEnd"/>
      <w:r w:rsidRPr="00522F9C">
        <w:rPr>
          <w:rFonts w:ascii="PT Astra Serif" w:hAnsi="PT Astra Serif" w:cs="Times New Roman"/>
          <w:b/>
          <w:sz w:val="28"/>
          <w:szCs w:val="28"/>
        </w:rPr>
        <w:t xml:space="preserve"> области </w:t>
      </w:r>
    </w:p>
    <w:p w:rsidR="00727DE6" w:rsidRPr="001B3EE6" w:rsidRDefault="00727DE6" w:rsidP="0094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tbl>
      <w:tblPr>
        <w:tblStyle w:val="af4"/>
        <w:tblW w:w="14992" w:type="dxa"/>
        <w:tblLayout w:type="fixed"/>
        <w:tblLook w:val="04A0" w:firstRow="1" w:lastRow="0" w:firstColumn="1" w:lastColumn="0" w:noHBand="0" w:noVBand="1"/>
      </w:tblPr>
      <w:tblGrid>
        <w:gridCol w:w="674"/>
        <w:gridCol w:w="5590"/>
        <w:gridCol w:w="2165"/>
        <w:gridCol w:w="6563"/>
      </w:tblGrid>
      <w:tr w:rsidR="00727DE6" w:rsidRPr="00522F9C" w:rsidTr="003D23B6">
        <w:trPr>
          <w:tblHeader/>
        </w:trPr>
        <w:tc>
          <w:tcPr>
            <w:tcW w:w="673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5590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Содержание обязательств</w:t>
            </w:r>
          </w:p>
        </w:tc>
        <w:tc>
          <w:tcPr>
            <w:tcW w:w="2165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Сроки исполнения обязательств</w:t>
            </w:r>
          </w:p>
        </w:tc>
        <w:tc>
          <w:tcPr>
            <w:tcW w:w="6563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Меры ответственности за невыполнение обязательств</w:t>
            </w:r>
          </w:p>
        </w:tc>
      </w:tr>
      <w:tr w:rsidR="00727DE6" w:rsidRPr="00522F9C" w:rsidTr="003D23B6">
        <w:trPr>
          <w:trHeight w:val="518"/>
        </w:trPr>
        <w:tc>
          <w:tcPr>
            <w:tcW w:w="673" w:type="dxa"/>
            <w:vAlign w:val="center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I</w:t>
            </w: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18" w:type="dxa"/>
            <w:gridSpan w:val="3"/>
            <w:vAlign w:val="center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Для поселения Саратовской области</w:t>
            </w:r>
          </w:p>
        </w:tc>
      </w:tr>
      <w:tr w:rsidR="00727DE6" w:rsidRPr="00522F9C" w:rsidTr="003D23B6">
        <w:tc>
          <w:tcPr>
            <w:tcW w:w="673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1.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Обеспечение роста налоговых и неналоговых доходов бюджета поселения Саратовской области (далее – поселение) по итогам исполнения бюджета поселения за  2025 год по сравнению с уровнем исполнения 2024 года в сопоставимых условиях (в процентах)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727DE6" w:rsidRPr="00727DE6" w:rsidRDefault="00727DE6" w:rsidP="003D23B6">
            <w:pPr>
              <w:pStyle w:val="ConsPlusNormal"/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до 31 декабря 2025 года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сокращение в 2026 году объема дотации на выравнивание бюджетной обеспеченности поселений, предусмотренной соответствующему поселению на 2026 год решением о бюджете муниципального района на 2026 год и на плановый период 2027 и 2028 годов (далее - решение о районном бюджете), в пределах 5 процентов от суммы соответствующей дотации в части, предоставляемой за счет субвенции бюджетам муниципальных районов из областного бюджета на исполнение</w:t>
            </w:r>
            <w:proofErr w:type="gramEnd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государственных полномочий по расчету и предоставлению дотаций бюджетам поселений (далее – дотация за счет субвенции)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727DE6" w:rsidRPr="00522F9C" w:rsidRDefault="00727DE6" w:rsidP="00727DE6">
      <w:pPr>
        <w:spacing w:line="240" w:lineRule="auto"/>
        <w:rPr>
          <w:rFonts w:ascii="PT Astra Serif" w:hAnsi="PT Astra Serif"/>
        </w:rPr>
      </w:pPr>
      <w:r w:rsidRPr="00522F9C">
        <w:rPr>
          <w:rFonts w:ascii="PT Astra Serif" w:hAnsi="PT Astra Serif"/>
        </w:rPr>
        <w:br w:type="page"/>
      </w:r>
    </w:p>
    <w:tbl>
      <w:tblPr>
        <w:tblStyle w:val="af4"/>
        <w:tblW w:w="15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590"/>
        <w:gridCol w:w="2165"/>
        <w:gridCol w:w="6563"/>
      </w:tblGrid>
      <w:tr w:rsidR="00727DE6" w:rsidRPr="00522F9C" w:rsidTr="003D23B6">
        <w:tc>
          <w:tcPr>
            <w:tcW w:w="851" w:type="dxa"/>
          </w:tcPr>
          <w:p w:rsidR="00727DE6" w:rsidRPr="00522F9C" w:rsidRDefault="00727DE6" w:rsidP="003D23B6">
            <w:pPr>
              <w:pageBreakBefore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lastRenderedPageBreak/>
              <w:t>1.2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Соблюдение требования к объему муниципального долга, установленного статьей 107 Бюджетного кодекса Российской Федерации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2025 года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сокращение в 2026 году объема дотации на выравнивание бюджетной обеспеченности поселений, предусмотренной соответствующему поселению на 2026 год решением о районном бюджете, в пределах 5 процентов от суммы дотации за счет субвенции, - в случае невыполнения обязательства по итогам 2025 года</w:t>
            </w: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1.3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Соблюдение требования к дефициту местного бюджета, установленного статьей 92.1 Бюджетного кодекса Российской Федерации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2025 года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сокращение в 2026 году объема дотации на выравнивание бюджетной обеспеченности поселений, предусмотренной соответствующему поселению на 2026 год решением о районном бюджете, в пределах 5 процентов от суммы дотации за счет субвенции, - в случае невыполнения обязательства по итогам 2025 года по плановым назначениям и (или) по данным фактического исполнения бюджета</w:t>
            </w: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1.4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Соблюдение норматива формирования расходов на содержание органов местного самоуправления, установленного Прави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softHyphen/>
              <w:t>тельством области</w:t>
            </w: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по итогам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2025 года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</w:pP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2026 году объема дотации на выравнивание бюджетной обеспеченности поселений, предусмотренной соответствующему поселению на 2026 год решением о районном бюджете, на сумму превышения расходов на содержание органов местного самоуправления поселения над расходами, рассчитанными в соответствии с нормативами формирования указанных расходов, установленными Правительством области, но не более чем сумма дотации за счет субвенции (остатка дотации за счет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субвенции до конца</w:t>
            </w:r>
            <w:proofErr w:type="gramEnd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финансового года), - в случае невыполнения обязательства по данным фактического исполнения бюджета</w:t>
            </w: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lastRenderedPageBreak/>
              <w:t>1.5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Отсутствие по состоянию на первое число каждого месяца просроченной кредиторской задолженности бюджета поселения, бюджетных и автономных учреждений поселения, источником финансового </w:t>
            </w: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обеспечения</w:t>
            </w:r>
            <w:proofErr w:type="gramEnd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деятельности которых являются средства бюджета поселения (за исключением иных источников финансирования),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ежемесячно на 1 число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2026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году главой местной администрации (руководителем исполнительно-распорядительного органа) поселения 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EE69B9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</w:t>
            </w: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.6</w:t>
            </w:r>
            <w:r w:rsidRPr="00EE69B9">
              <w:rPr>
                <w:rFonts w:ascii="PT Astra Serif" w:eastAsia="Calibri" w:hAnsi="PT Astra Serif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Отсутствие просроченной кредиторской задолженности бюджета по состоянию на 1 января 2026 года (для поселений, не имеющих просроченную кредиторскую задолженность бюджета по состоянию на 1 января 2025 года) 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proofErr w:type="gramStart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просроченной кредиторской задолженности бюджета на 1 января 2026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года до уровня не более 0,32 процента от расходов бюджета за 2025 год и не более объема просроченной кредиторской задолженности бюджета, сложившейся по состоянию на 1 января 2025 года (для поселений, имеющих просроченную кредиторскую задолженность бюджета по состоянию на 1 января 2025 года, но не заключивших соглашение с министерством финансов области</w:t>
            </w:r>
            <w:proofErr w:type="gramEnd"/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о мерах по восстановлению платежеспособности муниципального образования в соответствии со статьей 168.4 Бюджетного кодекса Российской Федерации (далее - соглашение по восстановлению платежеспособности)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Сокращение просроченной кредиторской задолженности бюджета на 1 января 2026 года до уровня, установленного соглашением по восстановлению платежеспособности, и не более объема просроченной кредиторской задолженности бюджета, сложившейся по состоянию на 1 января 2025 года (для поселений, заключивших соглашение по восстановлению платежеспособности)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по итогам 2025 года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2026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году главой местной администрации (руководителем исполнительно-распорядительного органа)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поселения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8909BD" w:rsidRDefault="00727DE6" w:rsidP="008909B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1.</w:t>
            </w:r>
            <w:r w:rsidR="008909BD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</w:pPr>
            <w:proofErr w:type="gramStart"/>
            <w:r w:rsidRPr="00727DE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 xml:space="preserve">Наличие в решении о бюджете (сводной </w:t>
            </w:r>
            <w:r w:rsidRPr="00727DE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lastRenderedPageBreak/>
              <w:t xml:space="preserve">бюджетной росписи) ассигнований на оплату труда, уплату взносов по обязательному социальному страхованию на выплаты по оплате труда работников и иные выплаты работникам, обеспечение мер социальной поддержки отдельных категорий граждан, финансовое обеспечение которых осуществляется за счет средств местного бюджета, на 2025 год в объеме годовой потребности </w:t>
            </w:r>
            <w:proofErr w:type="gramEnd"/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165" w:type="dxa"/>
          </w:tcPr>
          <w:p w:rsidR="00727DE6" w:rsidRPr="001B3E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 xml:space="preserve">до 1 </w:t>
            </w:r>
            <w:r w:rsidR="001B3EE6">
              <w:rPr>
                <w:rFonts w:ascii="PT Astra Serif" w:eastAsia="Calibri" w:hAnsi="PT Astra Serif" w:cs="Times New Roman"/>
                <w:sz w:val="28"/>
                <w:szCs w:val="28"/>
              </w:rPr>
              <w:t>марта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202</w:t>
            </w:r>
            <w:r w:rsidRPr="00727DE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>5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 xml:space="preserve">применение в 2026 году главой (руководителем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 xml:space="preserve">исполнительно-распорядительного органа)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8909BD" w:rsidRDefault="00727DE6" w:rsidP="008909B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1.</w:t>
            </w:r>
            <w:r w:rsidR="008909BD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7DE6">
              <w:rPr>
                <w:rFonts w:ascii="PT Astra Serif" w:hAnsi="PT Astra Serif"/>
                <w:sz w:val="28"/>
                <w:szCs w:val="28"/>
              </w:rPr>
              <w:t>Реализация плана («дорожной карты») по взысканию дебиторской задолженности по платежам в бюджет поселения, пеням и штрафам по ним, утвержденного в 2024 году, и при необходимости его актуализация</w:t>
            </w: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2025 года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2026 году главой (руководителем исполнительно-распорядительного органа)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8909BD" w:rsidRDefault="00727DE6" w:rsidP="008909B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</w:pPr>
            <w:r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PT Astra Serif" w:eastAsia="Calibri" w:hAnsi="PT Astra Serif" w:cs="Times New Roman"/>
                <w:sz w:val="28"/>
                <w:szCs w:val="28"/>
              </w:rPr>
              <w:t>.</w:t>
            </w:r>
            <w:r w:rsidR="008909BD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727DE6">
              <w:rPr>
                <w:rFonts w:ascii="PT Astra Serif" w:hAnsi="PT Astra Serif" w:cs="Times New Roman"/>
                <w:sz w:val="28"/>
                <w:szCs w:val="28"/>
              </w:rPr>
              <w:t xml:space="preserve">Утверждение и (или) обеспечение актуализации плана («дорожной карты») по погашению (реструктуризации) просроченной кредиторской задолженности бюджетных (автономных) учреждений поселения (без учета объема просроченной кредиторской задолженности за счет средств от приносящей доход деятельности) на 2025 - 2027 годы с установлением ежеквартальных целевых показателей по </w:t>
            </w:r>
            <w:r w:rsidRPr="00727DE6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снижению (</w:t>
            </w:r>
            <w:proofErr w:type="spellStart"/>
            <w:r w:rsidRPr="00727DE6">
              <w:rPr>
                <w:rFonts w:ascii="PT Astra Serif" w:hAnsi="PT Astra Serif" w:cs="Times New Roman"/>
                <w:sz w:val="28"/>
                <w:szCs w:val="28"/>
              </w:rPr>
              <w:t>неувеличению</w:t>
            </w:r>
            <w:proofErr w:type="spellEnd"/>
            <w:r w:rsidRPr="00727DE6">
              <w:rPr>
                <w:rFonts w:ascii="PT Astra Serif" w:hAnsi="PT Astra Serif" w:cs="Times New Roman"/>
                <w:sz w:val="28"/>
                <w:szCs w:val="28"/>
              </w:rPr>
              <w:t>) просроченной кредиторской задолженности бюджетных (автономных) учреждений поселения (для поселений, имеющих просроченную кредиторскую задолженность бюджетных (автономных) учреждений поселений</w:t>
            </w:r>
            <w:proofErr w:type="gramEnd"/>
            <w:r w:rsidRPr="00727DE6">
              <w:rPr>
                <w:rFonts w:ascii="PT Astra Serif" w:hAnsi="PT Astra Serif" w:cs="Times New Roman"/>
                <w:sz w:val="28"/>
                <w:szCs w:val="28"/>
              </w:rPr>
              <w:t xml:space="preserve"> (</w:t>
            </w:r>
            <w:proofErr w:type="gramStart"/>
            <w:r w:rsidRPr="00727DE6">
              <w:rPr>
                <w:rFonts w:ascii="PT Astra Serif" w:hAnsi="PT Astra Serif" w:cs="Times New Roman"/>
                <w:sz w:val="28"/>
                <w:szCs w:val="28"/>
              </w:rPr>
              <w:t>без учета объема просроченной кредиторской задолженности за счет средств от приносящей доход деятельности) по состоянию на 1 января 2025 года), а также обеспечение реализации мероприятий указанного плана («дорожной карты») с учетом ежеквартального достижения установленных целевых показателей</w:t>
            </w:r>
            <w:proofErr w:type="gramEnd"/>
          </w:p>
          <w:p w:rsidR="00727DE6" w:rsidRPr="00727DE6" w:rsidRDefault="00727DE6" w:rsidP="003D23B6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до 1 апреля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года –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утверждение</w:t>
            </w:r>
            <w:r w:rsidRPr="00727DE6">
              <w:rPr>
                <w:rFonts w:ascii="PT Astra Serif" w:hAnsi="PT Astra Serif" w:cs="Times New Roman"/>
                <w:sz w:val="28"/>
                <w:szCs w:val="28"/>
              </w:rPr>
              <w:t xml:space="preserve"> и (или) обеспечение актуализации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;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в течение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2025 года - обеспечение</w:t>
            </w:r>
            <w:r w:rsidRPr="00727DE6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727DE6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реализации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 xml:space="preserve">применение в 2026 году главой (руководителем исполнительно-распорядительного органа)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727DE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8909BD" w:rsidRDefault="00727DE6" w:rsidP="008909B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1.1</w:t>
            </w:r>
            <w:r w:rsidR="008909BD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Направление главой местной администрации (руководителем исполнительно-распорядительного органа) поселения в финансовый орган муниципального района Саратовской области информации (отчета) о выполнении обязательств поселения по итогам 2025  года</w:t>
            </w: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не позднее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1 марта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2026 года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применение в 2026 году главой местной администрации (руководителем исполнительно-распорядительного органа) поселения 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727DE6" w:rsidRPr="00522F9C" w:rsidTr="003D23B6">
        <w:trPr>
          <w:trHeight w:val="388"/>
        </w:trPr>
        <w:tc>
          <w:tcPr>
            <w:tcW w:w="851" w:type="dxa"/>
            <w:vAlign w:val="center"/>
          </w:tcPr>
          <w:p w:rsidR="00727DE6" w:rsidRPr="00522F9C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II</w:t>
            </w:r>
            <w:r w:rsidRPr="00522F9C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18" w:type="dxa"/>
            <w:gridSpan w:val="3"/>
            <w:vAlign w:val="center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Для финансового органа муниципального района Саратовской области</w:t>
            </w:r>
          </w:p>
        </w:tc>
      </w:tr>
      <w:tr w:rsidR="00727DE6" w:rsidRPr="00522F9C" w:rsidTr="003D23B6">
        <w:tc>
          <w:tcPr>
            <w:tcW w:w="851" w:type="dxa"/>
          </w:tcPr>
          <w:p w:rsidR="00727DE6" w:rsidRPr="00522F9C" w:rsidRDefault="00727DE6" w:rsidP="008909B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2.1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Осуществление мониторинга выполнения поселением установленных обязательств по итогам 2025 года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не позднее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15 апреля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2026 года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727DE6" w:rsidRPr="00522F9C" w:rsidTr="003D23B6">
        <w:tc>
          <w:tcPr>
            <w:tcW w:w="851" w:type="dxa"/>
          </w:tcPr>
          <w:p w:rsidR="00727DE6" w:rsidRPr="00522F9C" w:rsidRDefault="00727DE6" w:rsidP="008909B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22F9C">
              <w:rPr>
                <w:rFonts w:ascii="PT Astra Serif" w:eastAsia="Calibri" w:hAnsi="PT Astra Serif" w:cs="Times New Roman"/>
                <w:sz w:val="28"/>
                <w:szCs w:val="28"/>
              </w:rPr>
              <w:t>2.2</w:t>
            </w:r>
          </w:p>
        </w:tc>
        <w:tc>
          <w:tcPr>
            <w:tcW w:w="5590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Направление финансовым органом </w:t>
            </w: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 xml:space="preserve">муниципального района Саратовской области в министерство финансов области информации о результатах мониторинга выполнения поселениями обязательств по итогам 2025 года </w:t>
            </w:r>
          </w:p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65" w:type="dxa"/>
          </w:tcPr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не позднее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20 апреля</w:t>
            </w:r>
          </w:p>
          <w:p w:rsidR="00727DE6" w:rsidRPr="00727DE6" w:rsidRDefault="00727DE6" w:rsidP="003D23B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727DE6">
              <w:rPr>
                <w:rFonts w:ascii="PT Astra Serif" w:eastAsia="Calibri" w:hAnsi="PT Astra Serif" w:cs="Times New Roman"/>
                <w:sz w:val="28"/>
                <w:szCs w:val="28"/>
              </w:rPr>
              <w:t>2026 года</w:t>
            </w:r>
          </w:p>
        </w:tc>
        <w:tc>
          <w:tcPr>
            <w:tcW w:w="6563" w:type="dxa"/>
          </w:tcPr>
          <w:p w:rsidR="00727DE6" w:rsidRPr="00727DE6" w:rsidRDefault="00727DE6" w:rsidP="003D23B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727DE6" w:rsidRPr="00522F9C" w:rsidRDefault="00727DE6" w:rsidP="00727DE6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  <w:vertAlign w:val="superscript"/>
          <w:lang w:val="en-US"/>
        </w:rPr>
      </w:pPr>
    </w:p>
    <w:p w:rsidR="00727DE6" w:rsidRPr="00727DE6" w:rsidRDefault="00727DE6" w:rsidP="00727DE6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  <w:r w:rsidRPr="00727DE6">
        <w:rPr>
          <w:rFonts w:ascii="PT Astra Serif" w:hAnsi="PT Astra Serif" w:cs="Times New Roman"/>
          <w:kern w:val="2"/>
          <w:sz w:val="24"/>
          <w:szCs w:val="24"/>
          <w:vertAlign w:val="superscript"/>
        </w:rPr>
        <w:t>1</w:t>
      </w:r>
      <w:r w:rsidRPr="00727DE6">
        <w:rPr>
          <w:rFonts w:ascii="PT Astra Serif" w:hAnsi="PT Astra Serif" w:cs="Times New Roman"/>
          <w:kern w:val="2"/>
          <w:sz w:val="24"/>
          <w:szCs w:val="24"/>
        </w:rPr>
        <w:t>Расчет роста налоговых и неналоговых доходов бюджета поселения за 2025 год к 2024 году в сопоставимых условиях осуществляется на основании рекомендаций министерства финансов области.</w:t>
      </w:r>
    </w:p>
    <w:p w:rsidR="00727DE6" w:rsidRPr="00727DE6" w:rsidRDefault="00727DE6" w:rsidP="00727DE6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  <w:proofErr w:type="gramStart"/>
      <w:r w:rsidRPr="00727DE6">
        <w:rPr>
          <w:rFonts w:ascii="PT Astra Serif" w:hAnsi="PT Astra Serif" w:cs="Times New Roman"/>
          <w:kern w:val="2"/>
          <w:sz w:val="24"/>
          <w:szCs w:val="24"/>
          <w:vertAlign w:val="superscript"/>
        </w:rPr>
        <w:t>2</w:t>
      </w:r>
      <w:r w:rsidRPr="00727DE6">
        <w:rPr>
          <w:rFonts w:ascii="PT Astra Serif" w:hAnsi="PT Astra Serif" w:cs="Times New Roman"/>
          <w:kern w:val="2"/>
          <w:sz w:val="24"/>
          <w:szCs w:val="24"/>
        </w:rPr>
        <w:t>В случае недостаточности в 2026 году у поселения бюджетных ассигнований (остатка бюджетных ассигнований) по дотации за счет субвенции для применения в 2026 году меры (мер) ответственности за невыполнение обязательств в виде сокращения объема данной дотации, в 2026 году главой</w:t>
      </w:r>
      <w:r w:rsidRPr="00727DE6">
        <w:rPr>
          <w:rFonts w:ascii="PT Astra Serif" w:hAnsi="PT Astra Serif"/>
        </w:rPr>
        <w:t xml:space="preserve"> </w:t>
      </w:r>
      <w:r w:rsidRPr="00727DE6">
        <w:rPr>
          <w:rFonts w:ascii="PT Astra Serif" w:hAnsi="PT Astra Serif" w:cs="Times New Roman"/>
          <w:kern w:val="2"/>
          <w:sz w:val="24"/>
          <w:szCs w:val="24"/>
        </w:rPr>
        <w:t>местной администрации (руководителем исполнительно-распорядительного органа) поселения применяется мера дисциплинарной ответственности в соответствии с законодательством Российской Федерации к должностным лицам органов местного</w:t>
      </w:r>
      <w:proofErr w:type="gramEnd"/>
      <w:r w:rsidRPr="00727DE6">
        <w:rPr>
          <w:rFonts w:ascii="PT Astra Serif" w:hAnsi="PT Astra Serif" w:cs="Times New Roman"/>
          <w:kern w:val="2"/>
          <w:sz w:val="24"/>
          <w:szCs w:val="24"/>
        </w:rPr>
        <w:t xml:space="preserve"> самоуправления, чьи действия (бездействие) привели к нарушению обязательства.</w:t>
      </w:r>
    </w:p>
    <w:p w:rsidR="00727DE6" w:rsidRPr="00727DE6" w:rsidRDefault="00727DE6" w:rsidP="00727DE6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  <w:proofErr w:type="gramStart"/>
      <w:r w:rsidRPr="00727DE6">
        <w:rPr>
          <w:rFonts w:ascii="PT Astra Serif" w:hAnsi="PT Astra Serif" w:cs="Times New Roman"/>
          <w:kern w:val="2"/>
          <w:sz w:val="24"/>
          <w:szCs w:val="24"/>
          <w:vertAlign w:val="superscript"/>
        </w:rPr>
        <w:t>3</w:t>
      </w:r>
      <w:r w:rsidRPr="00727DE6">
        <w:rPr>
          <w:rFonts w:ascii="PT Astra Serif" w:hAnsi="PT Astra Serif" w:cs="Times New Roman"/>
          <w:kern w:val="2"/>
          <w:sz w:val="24"/>
          <w:szCs w:val="24"/>
        </w:rPr>
        <w:t>В случае заключения в течение текущего года в установленном порядке соглашения по восстановлению платежеспособности после заключения соглашения о мерах по социально-экономическому развитию и оздоровлению муниципальных финансов поселения Саратовской области на 2025 год (далее – соглашение по оздоровлению финансов) в соглашение по оздоровлению финансов вносятся изменения путем заключения дополнительного соглашения, предусматривающего обязательство по сокращению просроченной кредиторской задолженности бюджета на 1 января 2026</w:t>
      </w:r>
      <w:proofErr w:type="gramEnd"/>
      <w:r w:rsidRPr="00727DE6">
        <w:rPr>
          <w:rFonts w:ascii="PT Astra Serif" w:hAnsi="PT Astra Serif" w:cs="Times New Roman"/>
          <w:kern w:val="2"/>
          <w:sz w:val="24"/>
          <w:szCs w:val="24"/>
        </w:rPr>
        <w:t xml:space="preserve"> года до уровня, установленного соглашением по восстановлению платежеспособности, и не более объема просроченной кредиторской задолженности бюджета, сложившейся по </w:t>
      </w:r>
      <w:r w:rsidR="008909BD">
        <w:rPr>
          <w:rFonts w:ascii="PT Astra Serif" w:hAnsi="PT Astra Serif" w:cs="Times New Roman"/>
          <w:kern w:val="2"/>
          <w:sz w:val="24"/>
          <w:szCs w:val="24"/>
        </w:rPr>
        <w:t>состоянию на 1 января 2025 года</w:t>
      </w:r>
      <w:r w:rsidRPr="00727DE6">
        <w:rPr>
          <w:rFonts w:ascii="PT Astra Serif" w:hAnsi="PT Astra Serif" w:cs="Times New Roman"/>
          <w:kern w:val="2"/>
          <w:sz w:val="24"/>
          <w:szCs w:val="24"/>
        </w:rPr>
        <w:t>.</w:t>
      </w:r>
    </w:p>
    <w:p w:rsidR="00727DE6" w:rsidRPr="00522F9C" w:rsidRDefault="00727DE6" w:rsidP="00727DE6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  <w:r w:rsidRPr="00727DE6">
        <w:rPr>
          <w:rFonts w:ascii="PT Astra Serif" w:hAnsi="PT Astra Serif" w:cs="Times New Roman"/>
          <w:kern w:val="2"/>
          <w:sz w:val="24"/>
          <w:szCs w:val="24"/>
        </w:rPr>
        <w:t>В случае расторжения в течение текущего года в установленном порядке соглашения по восстановлению платежеспособности после заключения соглашения по оздоровлению финансов в соглашение по оздоровлению финансов вносятся изменения путем заключения дополнительного соглашения, предусматривающего обязательство по отсутствию просроченной кредиторской задолженности бюджета по состоянию на 1 января 2026 года</w:t>
      </w:r>
      <w:bookmarkStart w:id="1" w:name="_GoBack"/>
      <w:bookmarkEnd w:id="1"/>
      <w:r w:rsidRPr="00727DE6">
        <w:rPr>
          <w:rFonts w:ascii="PT Astra Serif" w:hAnsi="PT Astra Serif" w:cs="Times New Roman"/>
          <w:kern w:val="2"/>
          <w:sz w:val="24"/>
          <w:szCs w:val="24"/>
        </w:rPr>
        <w:t>.</w:t>
      </w:r>
    </w:p>
    <w:p w:rsidR="00727DE6" w:rsidRPr="00342E8B" w:rsidRDefault="00727DE6" w:rsidP="00727DE6">
      <w:pPr>
        <w:spacing w:after="0" w:line="240" w:lineRule="auto"/>
        <w:jc w:val="center"/>
        <w:rPr>
          <w:rFonts w:ascii="PT Astra Serif" w:hAnsi="PT Astra Serif"/>
          <w:bCs/>
          <w:szCs w:val="28"/>
        </w:rPr>
      </w:pPr>
    </w:p>
    <w:p w:rsidR="00727DE6" w:rsidRPr="00522F9C" w:rsidRDefault="00727DE6" w:rsidP="00727DE6">
      <w:pPr>
        <w:spacing w:after="0" w:line="240" w:lineRule="auto"/>
        <w:jc w:val="center"/>
        <w:rPr>
          <w:rFonts w:ascii="PT Astra Serif" w:hAnsi="PT Astra Serif"/>
          <w:bCs/>
          <w:szCs w:val="28"/>
        </w:rPr>
      </w:pPr>
      <w:r w:rsidRPr="00522F9C">
        <w:rPr>
          <w:rFonts w:ascii="PT Astra Serif" w:hAnsi="PT Astra Serif"/>
          <w:bCs/>
          <w:szCs w:val="28"/>
        </w:rPr>
        <w:t>________________________</w:t>
      </w:r>
    </w:p>
    <w:p w:rsidR="00727DE6" w:rsidRPr="00522F9C" w:rsidRDefault="00727DE6" w:rsidP="00727DE6">
      <w:pPr>
        <w:tabs>
          <w:tab w:val="left" w:pos="3261"/>
          <w:tab w:val="left" w:pos="6096"/>
        </w:tabs>
        <w:spacing w:after="0" w:line="240" w:lineRule="auto"/>
        <w:jc w:val="center"/>
        <w:rPr>
          <w:rFonts w:ascii="PT Astra Serif" w:hAnsi="PT Astra Serif"/>
          <w:bCs/>
          <w:szCs w:val="28"/>
        </w:rPr>
      </w:pPr>
    </w:p>
    <w:p w:rsidR="00135F07" w:rsidRPr="00522F9C" w:rsidRDefault="00135F07" w:rsidP="00943DB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sectPr w:rsidR="00135F07" w:rsidRPr="00522F9C" w:rsidSect="00943DB5">
      <w:headerReference w:type="default" r:id="rId8"/>
      <w:pgSz w:w="16838" w:h="11906" w:orient="landscape"/>
      <w:pgMar w:top="993" w:right="1134" w:bottom="993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D2F" w:rsidRDefault="00AD353A">
      <w:pPr>
        <w:spacing w:after="0" w:line="240" w:lineRule="auto"/>
      </w:pPr>
      <w:r>
        <w:separator/>
      </w:r>
    </w:p>
  </w:endnote>
  <w:endnote w:type="continuationSeparator" w:id="0">
    <w:p w:rsidR="00072D2F" w:rsidRDefault="00AD3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D2F" w:rsidRDefault="00AD353A">
      <w:pPr>
        <w:spacing w:after="0" w:line="240" w:lineRule="auto"/>
      </w:pPr>
      <w:r>
        <w:separator/>
      </w:r>
    </w:p>
  </w:footnote>
  <w:footnote w:type="continuationSeparator" w:id="0">
    <w:p w:rsidR="00072D2F" w:rsidRDefault="00AD3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323433"/>
      <w:docPartObj>
        <w:docPartGallery w:val="Page Numbers (Top of Page)"/>
        <w:docPartUnique/>
      </w:docPartObj>
    </w:sdtPr>
    <w:sdtEndPr/>
    <w:sdtContent>
      <w:p w:rsidR="00135F07" w:rsidRDefault="00AD353A">
        <w:pPr>
          <w:pStyle w:val="af0"/>
          <w:tabs>
            <w:tab w:val="left" w:pos="7095"/>
            <w:tab w:val="center" w:pos="7285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09BD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5F07" w:rsidRDefault="00135F07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F07"/>
    <w:rsid w:val="0000422A"/>
    <w:rsid w:val="0002056A"/>
    <w:rsid w:val="00037634"/>
    <w:rsid w:val="00072D2F"/>
    <w:rsid w:val="000C4CF0"/>
    <w:rsid w:val="00133F8D"/>
    <w:rsid w:val="00135F07"/>
    <w:rsid w:val="001B3EE6"/>
    <w:rsid w:val="001B7C1B"/>
    <w:rsid w:val="00200006"/>
    <w:rsid w:val="002C018B"/>
    <w:rsid w:val="002E53E8"/>
    <w:rsid w:val="002E7F7F"/>
    <w:rsid w:val="002F5E83"/>
    <w:rsid w:val="00376FD4"/>
    <w:rsid w:val="00403DF9"/>
    <w:rsid w:val="00450220"/>
    <w:rsid w:val="004D019D"/>
    <w:rsid w:val="00522F9C"/>
    <w:rsid w:val="005636C3"/>
    <w:rsid w:val="005F5CCC"/>
    <w:rsid w:val="006455F0"/>
    <w:rsid w:val="006961E7"/>
    <w:rsid w:val="00727DE6"/>
    <w:rsid w:val="00752588"/>
    <w:rsid w:val="00790A67"/>
    <w:rsid w:val="0087380F"/>
    <w:rsid w:val="00885B76"/>
    <w:rsid w:val="008909BD"/>
    <w:rsid w:val="009002D1"/>
    <w:rsid w:val="00936347"/>
    <w:rsid w:val="00943DB5"/>
    <w:rsid w:val="009A4EBD"/>
    <w:rsid w:val="009E4445"/>
    <w:rsid w:val="009F45D5"/>
    <w:rsid w:val="00A9740C"/>
    <w:rsid w:val="00AA0D9A"/>
    <w:rsid w:val="00AD353A"/>
    <w:rsid w:val="00B55307"/>
    <w:rsid w:val="00C301F3"/>
    <w:rsid w:val="00D05C6D"/>
    <w:rsid w:val="00D14A08"/>
    <w:rsid w:val="00D25571"/>
    <w:rsid w:val="00D31562"/>
    <w:rsid w:val="00E06D75"/>
    <w:rsid w:val="00E253DB"/>
    <w:rsid w:val="00E37F53"/>
    <w:rsid w:val="00E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141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71914"/>
  </w:style>
  <w:style w:type="character" w:customStyle="1" w:styleId="a5">
    <w:name w:val="Нижний колонтитул Знак"/>
    <w:basedOn w:val="a0"/>
    <w:uiPriority w:val="99"/>
    <w:qFormat/>
    <w:rsid w:val="00D71914"/>
  </w:style>
  <w:style w:type="character" w:customStyle="1" w:styleId="-">
    <w:name w:val="Интернет-ссылка"/>
    <w:basedOn w:val="a0"/>
    <w:uiPriority w:val="99"/>
    <w:semiHidden/>
    <w:unhideWhenUsed/>
    <w:rsid w:val="00A45A71"/>
    <w:rPr>
      <w:color w:val="0000FF"/>
      <w:u w:val="single"/>
    </w:rPr>
  </w:style>
  <w:style w:type="character" w:customStyle="1" w:styleId="a6">
    <w:name w:val="Основной текст Знак"/>
    <w:basedOn w:val="a0"/>
    <w:qFormat/>
    <w:rsid w:val="00A45A7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7">
    <w:name w:val="Текст сноски Знак"/>
    <w:basedOn w:val="a0"/>
    <w:uiPriority w:val="99"/>
    <w:semiHidden/>
    <w:qFormat/>
    <w:rsid w:val="000600E9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600E9"/>
    <w:rPr>
      <w:vertAlign w:val="superscript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A45A71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63367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633675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qFormat/>
    <w:rsid w:val="00A45A71"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A45A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0600E9"/>
    <w:pPr>
      <w:spacing w:after="0" w:line="240" w:lineRule="auto"/>
    </w:pPr>
    <w:rPr>
      <w:sz w:val="20"/>
      <w:szCs w:val="20"/>
    </w:rPr>
  </w:style>
  <w:style w:type="table" w:styleId="af4">
    <w:name w:val="Table Grid"/>
    <w:basedOn w:val="a1"/>
    <w:uiPriority w:val="59"/>
    <w:rsid w:val="00F85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141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71914"/>
  </w:style>
  <w:style w:type="character" w:customStyle="1" w:styleId="a5">
    <w:name w:val="Нижний колонтитул Знак"/>
    <w:basedOn w:val="a0"/>
    <w:uiPriority w:val="99"/>
    <w:qFormat/>
    <w:rsid w:val="00D71914"/>
  </w:style>
  <w:style w:type="character" w:customStyle="1" w:styleId="-">
    <w:name w:val="Интернет-ссылка"/>
    <w:basedOn w:val="a0"/>
    <w:uiPriority w:val="99"/>
    <w:semiHidden/>
    <w:unhideWhenUsed/>
    <w:rsid w:val="00A45A71"/>
    <w:rPr>
      <w:color w:val="0000FF"/>
      <w:u w:val="single"/>
    </w:rPr>
  </w:style>
  <w:style w:type="character" w:customStyle="1" w:styleId="a6">
    <w:name w:val="Основной текст Знак"/>
    <w:basedOn w:val="a0"/>
    <w:qFormat/>
    <w:rsid w:val="00A45A7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7">
    <w:name w:val="Текст сноски Знак"/>
    <w:basedOn w:val="a0"/>
    <w:uiPriority w:val="99"/>
    <w:semiHidden/>
    <w:qFormat/>
    <w:rsid w:val="000600E9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600E9"/>
    <w:rPr>
      <w:vertAlign w:val="superscript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A45A71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63367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633675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qFormat/>
    <w:rsid w:val="00A45A71"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A45A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0600E9"/>
    <w:pPr>
      <w:spacing w:after="0" w:line="240" w:lineRule="auto"/>
    </w:pPr>
    <w:rPr>
      <w:sz w:val="20"/>
      <w:szCs w:val="20"/>
    </w:rPr>
  </w:style>
  <w:style w:type="table" w:styleId="af4">
    <w:name w:val="Table Grid"/>
    <w:basedOn w:val="a1"/>
    <w:uiPriority w:val="59"/>
    <w:rsid w:val="00F85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77976-3A83-4445-AA1F-DBFE53B35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Коченюк Татьяна Анатольевна</cp:lastModifiedBy>
  <cp:revision>47</cp:revision>
  <cp:lastPrinted>2024-11-28T12:23:00Z</cp:lastPrinted>
  <dcterms:created xsi:type="dcterms:W3CDTF">2021-12-07T06:46:00Z</dcterms:created>
  <dcterms:modified xsi:type="dcterms:W3CDTF">2024-12-16T11:03:00Z</dcterms:modified>
  <dc:language>ru-RU</dc:language>
</cp:coreProperties>
</file>